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C7A" w:rsidRPr="00A607F9" w:rsidRDefault="00F508EB" w:rsidP="0071093B">
      <w:pPr>
        <w:pStyle w:val="FirstParagraph"/>
        <w:spacing w:line="360" w:lineRule="auto"/>
        <w:rPr>
          <w:rFonts w:ascii="Franklin Gothic Medium" w:hAnsi="Franklin Gothic Medium"/>
          <w:sz w:val="32"/>
          <w:szCs w:val="28"/>
        </w:rPr>
      </w:pPr>
      <w:r w:rsidRPr="00A607F9">
        <w:rPr>
          <w:rFonts w:ascii="Franklin Gothic Medium" w:hAnsi="Franklin Gothic Medium"/>
          <w:sz w:val="32"/>
          <w:szCs w:val="28"/>
        </w:rPr>
        <w:t>Since I have ten minutes, I will focus on a few principal remarks - and exclude the issues of multiculturalism and community art that Pascal has brought up and where I disagree with his definitions.</w:t>
      </w:r>
    </w:p>
    <w:p w:rsidR="007E0C7A" w:rsidRPr="00A607F9" w:rsidRDefault="00F508EB" w:rsidP="0071093B">
      <w:pPr>
        <w:pStyle w:val="Plattetekst"/>
        <w:spacing w:line="360" w:lineRule="auto"/>
        <w:rPr>
          <w:rFonts w:ascii="Franklin Gothic Medium" w:hAnsi="Franklin Gothic Medium"/>
          <w:sz w:val="32"/>
          <w:szCs w:val="28"/>
        </w:rPr>
      </w:pPr>
      <w:r w:rsidRPr="00A607F9">
        <w:rPr>
          <w:rFonts w:ascii="Franklin Gothic Medium" w:hAnsi="Franklin Gothic Medium"/>
          <w:sz w:val="32"/>
          <w:szCs w:val="28"/>
        </w:rPr>
        <w:t>Commons, as defined by Hardin and Ostrom, is first of all a model of ownership and property (no ownership or shared ownership); from that, it follows that it entails certain forms of collaboration and governance.</w:t>
      </w:r>
    </w:p>
    <w:p w:rsidR="007E0C7A" w:rsidRPr="00A607F9" w:rsidRDefault="00F508EB" w:rsidP="0071093B">
      <w:pPr>
        <w:pStyle w:val="Plattetekst"/>
        <w:spacing w:line="360" w:lineRule="auto"/>
        <w:rPr>
          <w:rFonts w:ascii="Franklin Gothic Medium" w:hAnsi="Franklin Gothic Medium"/>
          <w:sz w:val="32"/>
          <w:szCs w:val="28"/>
        </w:rPr>
      </w:pPr>
      <w:r w:rsidRPr="00A607F9">
        <w:rPr>
          <w:rFonts w:ascii="Franklin Gothic Medium" w:hAnsi="Franklin Gothic Medium"/>
          <w:sz w:val="32"/>
          <w:szCs w:val="28"/>
        </w:rPr>
        <w:t>In Pascal’s lecture and the “Commonism” boo</w:t>
      </w:r>
      <w:r w:rsidRPr="00A607F9">
        <w:rPr>
          <w:rFonts w:ascii="Franklin Gothic Medium" w:hAnsi="Franklin Gothic Medium"/>
          <w:sz w:val="32"/>
          <w:szCs w:val="28"/>
        </w:rPr>
        <w:t>k, I see a reversal of this logic where collaboration and governance comes first and the question of ownership (and property); or, in other words, it replaces a firmly materialist notion of the commons with a more conceptualist (or more idealist) notion of</w:t>
      </w:r>
      <w:r w:rsidRPr="00A607F9">
        <w:rPr>
          <w:rFonts w:ascii="Franklin Gothic Medium" w:hAnsi="Franklin Gothic Medium"/>
          <w:sz w:val="32"/>
          <w:szCs w:val="28"/>
        </w:rPr>
        <w:t xml:space="preserve"> the commons.</w:t>
      </w:r>
    </w:p>
    <w:p w:rsidR="007E0C7A" w:rsidRPr="00A607F9" w:rsidRDefault="00F508EB" w:rsidP="0071093B">
      <w:pPr>
        <w:pStyle w:val="Plattetekst"/>
        <w:spacing w:line="360" w:lineRule="auto"/>
        <w:rPr>
          <w:rFonts w:ascii="Franklin Gothic Medium" w:hAnsi="Franklin Gothic Medium"/>
          <w:sz w:val="32"/>
          <w:szCs w:val="28"/>
        </w:rPr>
      </w:pPr>
      <w:r w:rsidRPr="00A607F9">
        <w:rPr>
          <w:rFonts w:ascii="Franklin Gothic Medium" w:hAnsi="Franklin Gothic Medium"/>
          <w:sz w:val="32"/>
          <w:szCs w:val="28"/>
        </w:rPr>
        <w:t>In my view, this creates a number of questions:</w:t>
      </w:r>
    </w:p>
    <w:p w:rsidR="007E2337" w:rsidRDefault="00F508EB" w:rsidP="0071093B">
      <w:pPr>
        <w:numPr>
          <w:ilvl w:val="0"/>
          <w:numId w:val="3"/>
        </w:numPr>
        <w:spacing w:line="360" w:lineRule="auto"/>
        <w:rPr>
          <w:rFonts w:ascii="Franklin Gothic Medium" w:hAnsi="Franklin Gothic Medium"/>
          <w:sz w:val="32"/>
          <w:szCs w:val="28"/>
        </w:rPr>
      </w:pPr>
      <w:r w:rsidRPr="00A607F9">
        <w:rPr>
          <w:rFonts w:ascii="Franklin Gothic Medium" w:hAnsi="Franklin Gothic Medium"/>
          <w:sz w:val="32"/>
          <w:szCs w:val="28"/>
        </w:rPr>
        <w:t>First of all, whether this form of collaboration is actually that new</w:t>
      </w:r>
    </w:p>
    <w:p w:rsidR="00836A33" w:rsidRDefault="00836A33" w:rsidP="0071093B">
      <w:pPr>
        <w:numPr>
          <w:ilvl w:val="0"/>
          <w:numId w:val="3"/>
        </w:numPr>
        <w:spacing w:line="360" w:lineRule="auto"/>
        <w:rPr>
          <w:rFonts w:ascii="Franklin Gothic Medium" w:hAnsi="Franklin Gothic Medium"/>
          <w:sz w:val="32"/>
          <w:szCs w:val="28"/>
        </w:rPr>
      </w:pPr>
    </w:p>
    <w:p w:rsidR="007E0C7A" w:rsidRPr="00A607F9" w:rsidRDefault="00F508EB" w:rsidP="0071093B">
      <w:pPr>
        <w:numPr>
          <w:ilvl w:val="0"/>
          <w:numId w:val="3"/>
        </w:numPr>
        <w:spacing w:line="360" w:lineRule="auto"/>
        <w:rPr>
          <w:rFonts w:ascii="Franklin Gothic Medium" w:hAnsi="Franklin Gothic Medium"/>
          <w:sz w:val="32"/>
          <w:szCs w:val="28"/>
        </w:rPr>
      </w:pPr>
      <w:bookmarkStart w:id="0" w:name="_GoBack"/>
      <w:bookmarkEnd w:id="0"/>
      <w:r w:rsidRPr="00A607F9">
        <w:rPr>
          <w:rFonts w:ascii="Franklin Gothic Medium" w:hAnsi="Franklin Gothic Medium"/>
          <w:sz w:val="32"/>
          <w:szCs w:val="28"/>
        </w:rPr>
        <w:t>, even in the art practice - Joke van Zwaard will say more about this point.</w:t>
      </w:r>
    </w:p>
    <w:p w:rsidR="007E0C7A" w:rsidRPr="00A607F9" w:rsidRDefault="00F508EB" w:rsidP="0071093B">
      <w:pPr>
        <w:numPr>
          <w:ilvl w:val="0"/>
          <w:numId w:val="3"/>
        </w:numPr>
        <w:spacing w:line="360" w:lineRule="auto"/>
        <w:rPr>
          <w:rFonts w:ascii="Franklin Gothic Medium" w:hAnsi="Franklin Gothic Medium"/>
          <w:sz w:val="32"/>
          <w:szCs w:val="28"/>
        </w:rPr>
      </w:pPr>
      <w:r w:rsidRPr="00A607F9">
        <w:rPr>
          <w:rFonts w:ascii="Franklin Gothic Medium" w:hAnsi="Franklin Gothic Medium"/>
          <w:sz w:val="32"/>
          <w:szCs w:val="28"/>
        </w:rPr>
        <w:t xml:space="preserve">Secondly, whether the initiatives and practices </w:t>
      </w:r>
      <w:r w:rsidRPr="00A607F9">
        <w:rPr>
          <w:rFonts w:ascii="Franklin Gothic Medium" w:hAnsi="Franklin Gothic Medium"/>
          <w:sz w:val="32"/>
          <w:szCs w:val="28"/>
        </w:rPr>
        <w:t>described by Pascal aren’t actually “cooperatives”, in the most literal sense (like food co-ops, or artists’ cooperatives such as the New York Film-Makers Cooperative founded by Jonas Mekas in 1962).</w:t>
      </w:r>
    </w:p>
    <w:p w:rsidR="007E0C7A" w:rsidRPr="00A607F9" w:rsidRDefault="00F508EB" w:rsidP="0071093B">
      <w:pPr>
        <w:numPr>
          <w:ilvl w:val="0"/>
          <w:numId w:val="3"/>
        </w:numPr>
        <w:spacing w:line="360" w:lineRule="auto"/>
        <w:rPr>
          <w:rFonts w:ascii="Franklin Gothic Medium" w:hAnsi="Franklin Gothic Medium"/>
          <w:sz w:val="32"/>
          <w:szCs w:val="28"/>
        </w:rPr>
      </w:pPr>
      <w:r w:rsidRPr="00A607F9">
        <w:rPr>
          <w:rFonts w:ascii="Franklin Gothic Medium" w:hAnsi="Franklin Gothic Medium"/>
          <w:sz w:val="32"/>
          <w:szCs w:val="28"/>
        </w:rPr>
        <w:t>Which then, thirdly, leads to the question what the diff</w:t>
      </w:r>
      <w:r w:rsidRPr="00A607F9">
        <w:rPr>
          <w:rFonts w:ascii="Franklin Gothic Medium" w:hAnsi="Franklin Gothic Medium"/>
          <w:sz w:val="32"/>
          <w:szCs w:val="28"/>
        </w:rPr>
        <w:t>erence is between the new coinage of “commonism” and the concept of “communalism” developed by Murray Bookchin in the early 1990s (which was conversely modeled on anarcho-communist communes and cooperatives).</w:t>
      </w:r>
    </w:p>
    <w:p w:rsidR="007E0C7A" w:rsidRPr="00A607F9" w:rsidRDefault="00F508EB" w:rsidP="0071093B">
      <w:pPr>
        <w:pStyle w:val="FirstParagraph"/>
        <w:spacing w:line="360" w:lineRule="auto"/>
        <w:rPr>
          <w:rFonts w:ascii="Franklin Gothic Medium" w:hAnsi="Franklin Gothic Medium"/>
          <w:sz w:val="32"/>
          <w:szCs w:val="28"/>
        </w:rPr>
      </w:pPr>
      <w:r w:rsidRPr="00A607F9">
        <w:rPr>
          <w:rFonts w:ascii="Franklin Gothic Medium" w:hAnsi="Franklin Gothic Medium"/>
          <w:sz w:val="32"/>
          <w:szCs w:val="28"/>
        </w:rPr>
        <w:t>Curiously, many of these long-standing artists’</w:t>
      </w:r>
      <w:r w:rsidRPr="00A607F9">
        <w:rPr>
          <w:rFonts w:ascii="Franklin Gothic Medium" w:hAnsi="Franklin Gothic Medium"/>
          <w:sz w:val="32"/>
          <w:szCs w:val="28"/>
        </w:rPr>
        <w:t xml:space="preserve"> cooperatives subscribe to the notions of community art and multiculturalism, in stark contrast to Pascal’s thesis that these are top-down policies.</w:t>
      </w:r>
    </w:p>
    <w:p w:rsidR="007E0C7A" w:rsidRPr="00A607F9" w:rsidRDefault="00F508EB" w:rsidP="0071093B">
      <w:pPr>
        <w:pStyle w:val="Plattetekst"/>
        <w:spacing w:line="360" w:lineRule="auto"/>
        <w:rPr>
          <w:rFonts w:ascii="Franklin Gothic Medium" w:hAnsi="Franklin Gothic Medium"/>
          <w:sz w:val="32"/>
          <w:szCs w:val="28"/>
        </w:rPr>
      </w:pPr>
      <w:r w:rsidRPr="00A607F9">
        <w:rPr>
          <w:rFonts w:ascii="Franklin Gothic Medium" w:hAnsi="Franklin Gothic Medium"/>
          <w:sz w:val="32"/>
          <w:szCs w:val="28"/>
        </w:rPr>
        <w:lastRenderedPageBreak/>
        <w:t xml:space="preserve">Taking these issues aside, we’re ultimately back to questions that sociologist Ferdinand Tönnies raised in </w:t>
      </w:r>
      <w:r w:rsidRPr="00A607F9">
        <w:rPr>
          <w:rFonts w:ascii="Franklin Gothic Medium" w:hAnsi="Franklin Gothic Medium"/>
          <w:sz w:val="32"/>
          <w:szCs w:val="28"/>
        </w:rPr>
        <w:t>1887 with his book “Gemeinschaft und Gesellschaft” in which he introduced the distinction of community versus society - which subsequently resulted in the political concept of “communitarianism”. We probably would need another symposium to make clearer dif</w:t>
      </w:r>
      <w:r w:rsidRPr="00A607F9">
        <w:rPr>
          <w:rFonts w:ascii="Franklin Gothic Medium" w:hAnsi="Franklin Gothic Medium"/>
          <w:sz w:val="32"/>
          <w:szCs w:val="28"/>
        </w:rPr>
        <w:t>ferentiations between communes, communities, cooperatives and commons, and between communism, communitarianism, communalism and commonism.</w:t>
      </w:r>
    </w:p>
    <w:p w:rsidR="007E0C7A" w:rsidRPr="00A607F9" w:rsidRDefault="00F508EB" w:rsidP="0071093B">
      <w:pPr>
        <w:pStyle w:val="Plattetekst"/>
        <w:spacing w:line="360" w:lineRule="auto"/>
        <w:rPr>
          <w:rFonts w:ascii="Franklin Gothic Medium" w:hAnsi="Franklin Gothic Medium"/>
          <w:sz w:val="32"/>
          <w:szCs w:val="28"/>
        </w:rPr>
      </w:pPr>
      <w:r w:rsidRPr="00A607F9">
        <w:rPr>
          <w:rFonts w:ascii="Franklin Gothic Medium" w:hAnsi="Franklin Gothic Medium"/>
          <w:sz w:val="32"/>
          <w:szCs w:val="28"/>
        </w:rPr>
        <w:t>However, both in the established theory and practices of the commons, I see one fundamental disagreement with what Pa</w:t>
      </w:r>
      <w:r w:rsidRPr="00A607F9">
        <w:rPr>
          <w:rFonts w:ascii="Franklin Gothic Medium" w:hAnsi="Franklin Gothic Medium"/>
          <w:sz w:val="32"/>
          <w:szCs w:val="28"/>
        </w:rPr>
        <w:t>scal suggests: I would insist that a commons is not by definition democratic.</w:t>
      </w:r>
    </w:p>
    <w:p w:rsidR="007E0C7A" w:rsidRPr="00A607F9" w:rsidRDefault="00F508EB" w:rsidP="0071093B">
      <w:pPr>
        <w:numPr>
          <w:ilvl w:val="0"/>
          <w:numId w:val="4"/>
        </w:numPr>
        <w:spacing w:line="360" w:lineRule="auto"/>
        <w:rPr>
          <w:rFonts w:ascii="Franklin Gothic Medium" w:hAnsi="Franklin Gothic Medium"/>
          <w:sz w:val="32"/>
          <w:szCs w:val="28"/>
        </w:rPr>
      </w:pPr>
      <w:r w:rsidRPr="00A607F9">
        <w:rPr>
          <w:rFonts w:ascii="Franklin Gothic Medium" w:hAnsi="Franklin Gothic Medium"/>
          <w:sz w:val="32"/>
          <w:szCs w:val="28"/>
        </w:rPr>
        <w:t>Even in the examples given in Pascal’s lecture, such as Ex Exilo Filiangieri, or generally the movement of “Centri Sociali” in Italy (which, btw., grew out of autonomist anarcho-</w:t>
      </w:r>
      <w:r w:rsidRPr="00A607F9">
        <w:rPr>
          <w:rFonts w:ascii="Franklin Gothic Medium" w:hAnsi="Franklin Gothic Medium"/>
          <w:sz w:val="32"/>
          <w:szCs w:val="28"/>
        </w:rPr>
        <w:t xml:space="preserve">communism) you </w:t>
      </w:r>
      <w:r w:rsidRPr="00A607F9">
        <w:rPr>
          <w:rFonts w:ascii="Franklin Gothic Medium" w:hAnsi="Franklin Gothic Medium"/>
          <w:sz w:val="32"/>
          <w:szCs w:val="28"/>
        </w:rPr>
        <w:lastRenderedPageBreak/>
        <w:t>could argue that governance is often meritocratic rather than democratic.</w:t>
      </w:r>
    </w:p>
    <w:p w:rsidR="007E0C7A" w:rsidRPr="00A607F9" w:rsidRDefault="00F508EB" w:rsidP="0071093B">
      <w:pPr>
        <w:numPr>
          <w:ilvl w:val="0"/>
          <w:numId w:val="4"/>
        </w:numPr>
        <w:spacing w:line="360" w:lineRule="auto"/>
        <w:rPr>
          <w:rFonts w:ascii="Franklin Gothic Medium" w:hAnsi="Franklin Gothic Medium"/>
          <w:sz w:val="32"/>
          <w:szCs w:val="28"/>
        </w:rPr>
      </w:pPr>
      <w:r w:rsidRPr="00A607F9">
        <w:rPr>
          <w:rFonts w:ascii="Franklin Gothic Medium" w:hAnsi="Franklin Gothic Medium"/>
          <w:sz w:val="32"/>
          <w:szCs w:val="28"/>
        </w:rPr>
        <w:t>Which, right at this moment, is the source of major political controversy within another commons practice, Open Source/Free Software, where new codes of conducts for g</w:t>
      </w:r>
      <w:r w:rsidRPr="00A607F9">
        <w:rPr>
          <w:rFonts w:ascii="Franklin Gothic Medium" w:hAnsi="Franklin Gothic Medium"/>
          <w:sz w:val="32"/>
          <w:szCs w:val="28"/>
        </w:rPr>
        <w:t>ender inclusivity conflict with the established meritocratic model.</w:t>
      </w:r>
    </w:p>
    <w:p w:rsidR="007E0C7A" w:rsidRPr="00A607F9" w:rsidRDefault="00F508EB" w:rsidP="0071093B">
      <w:pPr>
        <w:numPr>
          <w:ilvl w:val="0"/>
          <w:numId w:val="4"/>
        </w:numPr>
        <w:spacing w:line="360" w:lineRule="auto"/>
        <w:rPr>
          <w:rFonts w:ascii="Franklin Gothic Medium" w:hAnsi="Franklin Gothic Medium"/>
          <w:sz w:val="32"/>
          <w:szCs w:val="28"/>
        </w:rPr>
      </w:pPr>
      <w:r w:rsidRPr="00A607F9">
        <w:rPr>
          <w:rFonts w:ascii="Franklin Gothic Medium" w:hAnsi="Franklin Gothic Medium"/>
          <w:sz w:val="32"/>
          <w:szCs w:val="28"/>
        </w:rPr>
        <w:t>Sticking to the example of Open Source/Free Software, Linux is a textbook example of a commons that is not democratic, because its development is sponsored and thus factually steered by an</w:t>
      </w:r>
      <w:r w:rsidRPr="00A607F9">
        <w:rPr>
          <w:rFonts w:ascii="Franklin Gothic Medium" w:hAnsi="Franklin Gothic Medium"/>
          <w:sz w:val="32"/>
          <w:szCs w:val="28"/>
        </w:rPr>
        <w:t xml:space="preserve"> industry consortium including IBM, Microsoft, Google, Intel, Huawei, AT&amp;T, Samsung and many others.</w:t>
      </w:r>
    </w:p>
    <w:p w:rsidR="007E0C7A" w:rsidRPr="00A607F9" w:rsidRDefault="00F508EB" w:rsidP="0071093B">
      <w:pPr>
        <w:numPr>
          <w:ilvl w:val="0"/>
          <w:numId w:val="4"/>
        </w:numPr>
        <w:spacing w:line="360" w:lineRule="auto"/>
        <w:rPr>
          <w:rFonts w:ascii="Franklin Gothic Medium" w:hAnsi="Franklin Gothic Medium"/>
          <w:sz w:val="32"/>
          <w:szCs w:val="28"/>
        </w:rPr>
      </w:pPr>
      <w:r w:rsidRPr="00A607F9">
        <w:rPr>
          <w:rFonts w:ascii="Franklin Gothic Medium" w:hAnsi="Franklin Gothic Medium"/>
          <w:sz w:val="32"/>
          <w:szCs w:val="28"/>
        </w:rPr>
        <w:t xml:space="preserve">Elinor Ostrom addresses this in her theory of the commons where she describes a four-tier hierarchy of “authorized users”, “claimants”, “proprietors” and, </w:t>
      </w:r>
      <w:r w:rsidRPr="00A607F9">
        <w:rPr>
          <w:rFonts w:ascii="Franklin Gothic Medium" w:hAnsi="Franklin Gothic Medium"/>
          <w:sz w:val="32"/>
          <w:szCs w:val="28"/>
        </w:rPr>
        <w:t>on top, “owners”. (Just to clarify, she sees this hierarchy of property rights also at work in the commons.)</w:t>
      </w:r>
    </w:p>
    <w:p w:rsidR="007E0C7A" w:rsidRPr="00A607F9" w:rsidRDefault="00F508EB" w:rsidP="0071093B">
      <w:pPr>
        <w:numPr>
          <w:ilvl w:val="0"/>
          <w:numId w:val="4"/>
        </w:numPr>
        <w:spacing w:line="360" w:lineRule="auto"/>
        <w:rPr>
          <w:rFonts w:ascii="Franklin Gothic Medium" w:hAnsi="Franklin Gothic Medium"/>
          <w:sz w:val="32"/>
          <w:szCs w:val="28"/>
        </w:rPr>
      </w:pPr>
      <w:r w:rsidRPr="00A607F9">
        <w:rPr>
          <w:rFonts w:ascii="Franklin Gothic Medium" w:hAnsi="Franklin Gothic Medium"/>
          <w:sz w:val="32"/>
          <w:szCs w:val="28"/>
        </w:rPr>
        <w:lastRenderedPageBreak/>
        <w:t>Lastly, commons is an organizational form, or a system (in a cybernetic sense): In the past decades, we’ve seen much optimism that restructuring th</w:t>
      </w:r>
      <w:r w:rsidRPr="00A607F9">
        <w:rPr>
          <w:rFonts w:ascii="Franklin Gothic Medium" w:hAnsi="Franklin Gothic Medium"/>
          <w:sz w:val="32"/>
          <w:szCs w:val="28"/>
        </w:rPr>
        <w:t>e working modes of a system would logically yield a different culture or politics. In the case of commons, not only the existence of corporate commons (such as Linux) seems to dampen this optimism. Although it sounds counter-intuitive, there are even fasci</w:t>
      </w:r>
      <w:r w:rsidRPr="00A607F9">
        <w:rPr>
          <w:rFonts w:ascii="Franklin Gothic Medium" w:hAnsi="Franklin Gothic Medium"/>
          <w:sz w:val="32"/>
          <w:szCs w:val="28"/>
        </w:rPr>
        <w:t>st commons: such as Neonazi organic farm cooperatives in East Germany, or the fascist squat “Casa Pound” in Rome which now also acts as a political party. (Deleuze/Guattari, rhizomatic fascism)</w:t>
      </w:r>
    </w:p>
    <w:p w:rsidR="007E0C7A" w:rsidRPr="00A607F9" w:rsidRDefault="00F508EB" w:rsidP="0071093B">
      <w:pPr>
        <w:numPr>
          <w:ilvl w:val="0"/>
          <w:numId w:val="4"/>
        </w:numPr>
        <w:spacing w:line="360" w:lineRule="auto"/>
        <w:rPr>
          <w:rFonts w:ascii="Franklin Gothic Medium" w:hAnsi="Franklin Gothic Medium"/>
          <w:sz w:val="32"/>
          <w:szCs w:val="28"/>
        </w:rPr>
      </w:pPr>
      <w:r w:rsidRPr="00A607F9">
        <w:rPr>
          <w:rFonts w:ascii="Franklin Gothic Medium" w:hAnsi="Franklin Gothic Medium"/>
          <w:sz w:val="32"/>
          <w:szCs w:val="28"/>
        </w:rPr>
        <w:t>In art, the example of the Otto Muehl Commune is perhaps the b</w:t>
      </w:r>
      <w:r w:rsidRPr="00A607F9">
        <w:rPr>
          <w:rFonts w:ascii="Franklin Gothic Medium" w:hAnsi="Franklin Gothic Medium"/>
          <w:sz w:val="32"/>
          <w:szCs w:val="28"/>
        </w:rPr>
        <w:t>est-known of a commune, cooperative or commons gone wrong. Art conversely offers the space to experiment with the commons, and explore what their limitations are and what can go wrong in them.</w:t>
      </w:r>
    </w:p>
    <w:sectPr w:rsidR="007E0C7A" w:rsidRPr="00A607F9" w:rsidSect="00A607F9">
      <w:headerReference w:type="default" r:id="rId7"/>
      <w:pgSz w:w="11906" w:h="16838" w:code="9"/>
      <w:pgMar w:top="1440" w:right="2880" w:bottom="1440" w:left="28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8EB" w:rsidRDefault="00F508EB">
      <w:pPr>
        <w:spacing w:after="0"/>
      </w:pPr>
      <w:r>
        <w:separator/>
      </w:r>
    </w:p>
  </w:endnote>
  <w:endnote w:type="continuationSeparator" w:id="0">
    <w:p w:rsidR="00F508EB" w:rsidRDefault="00F508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8EB" w:rsidRDefault="00F508EB">
      <w:r>
        <w:separator/>
      </w:r>
    </w:p>
  </w:footnote>
  <w:footnote w:type="continuationSeparator" w:id="0">
    <w:p w:rsidR="00F508EB" w:rsidRDefault="00F50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3455772"/>
      <w:docPartObj>
        <w:docPartGallery w:val="Page Numbers (Top of Page)"/>
        <w:docPartUnique/>
      </w:docPartObj>
    </w:sdtPr>
    <w:sdtContent>
      <w:p w:rsidR="0071093B" w:rsidRDefault="0071093B">
        <w:pPr>
          <w:pStyle w:val="Kop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:rsidR="0071093B" w:rsidRDefault="0071093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A454B4C"/>
    <w:multiLevelType w:val="multilevel"/>
    <w:tmpl w:val="E42C170A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170CD2DE"/>
    <w:multiLevelType w:val="multilevel"/>
    <w:tmpl w:val="C5247F1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2" w15:restartNumberingAfterBreak="0">
    <w:nsid w:val="2C1AE401"/>
    <w:multiLevelType w:val="multilevel"/>
    <w:tmpl w:val="36DC13F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11C8B"/>
    <w:rsid w:val="004E29B3"/>
    <w:rsid w:val="00590D07"/>
    <w:rsid w:val="0071093B"/>
    <w:rsid w:val="00784D58"/>
    <w:rsid w:val="007E0C7A"/>
    <w:rsid w:val="007E2337"/>
    <w:rsid w:val="00836A33"/>
    <w:rsid w:val="008D6863"/>
    <w:rsid w:val="009F0C79"/>
    <w:rsid w:val="00A607F9"/>
    <w:rsid w:val="00B86B75"/>
    <w:rsid w:val="00BC48D5"/>
    <w:rsid w:val="00C36279"/>
    <w:rsid w:val="00E315A3"/>
    <w:rsid w:val="00F508E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9ED84"/>
  <w15:docId w15:val="{902CB9E8-9983-4568-8A33-93F519CD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Platteteks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Standaard"/>
    <w:next w:val="Platteteks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Kop3">
    <w:name w:val="heading 3"/>
    <w:basedOn w:val="Standaard"/>
    <w:next w:val="Platteteks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Kop4">
    <w:name w:val="heading 4"/>
    <w:basedOn w:val="Standaard"/>
    <w:next w:val="Platteteks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Platteteks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Kop6">
    <w:name w:val="heading 6"/>
    <w:basedOn w:val="Standaard"/>
    <w:next w:val="Platteteks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Kop7">
    <w:name w:val="heading 7"/>
    <w:basedOn w:val="Standaard"/>
    <w:next w:val="Platteteks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Kop8">
    <w:name w:val="heading 8"/>
    <w:basedOn w:val="Standaard"/>
    <w:next w:val="Platteteks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Kop9">
    <w:name w:val="heading 9"/>
    <w:basedOn w:val="Standaard"/>
    <w:next w:val="Platteteks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qFormat/>
    <w:pPr>
      <w:spacing w:before="180" w:after="180"/>
    </w:pPr>
  </w:style>
  <w:style w:type="paragraph" w:customStyle="1" w:styleId="FirstParagraph">
    <w:name w:val="First Paragraph"/>
    <w:basedOn w:val="Plattetekst"/>
    <w:next w:val="Plattetekst"/>
    <w:qFormat/>
  </w:style>
  <w:style w:type="paragraph" w:customStyle="1" w:styleId="Compact">
    <w:name w:val="Compact"/>
    <w:basedOn w:val="Plattetekst"/>
    <w:qFormat/>
    <w:pPr>
      <w:spacing w:before="36" w:after="36"/>
    </w:pPr>
  </w:style>
  <w:style w:type="paragraph" w:styleId="Titel">
    <w:name w:val="Title"/>
    <w:basedOn w:val="Standaard"/>
    <w:next w:val="Platteteks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Ondertitel">
    <w:name w:val="Subtitle"/>
    <w:basedOn w:val="Titel"/>
    <w:next w:val="Platteteks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Plattetekst"/>
    <w:qFormat/>
    <w:pPr>
      <w:keepNext/>
      <w:keepLines/>
      <w:jc w:val="center"/>
    </w:pPr>
  </w:style>
  <w:style w:type="paragraph" w:styleId="Datum">
    <w:name w:val="Date"/>
    <w:next w:val="Plattetekst"/>
    <w:qFormat/>
    <w:pPr>
      <w:keepNext/>
      <w:keepLines/>
      <w:jc w:val="center"/>
    </w:pPr>
  </w:style>
  <w:style w:type="paragraph" w:customStyle="1" w:styleId="Abstract">
    <w:name w:val="Abstract"/>
    <w:basedOn w:val="Standaard"/>
    <w:next w:val="Plattetekst"/>
    <w:qFormat/>
    <w:pPr>
      <w:keepNext/>
      <w:keepLines/>
      <w:spacing w:before="300" w:after="300"/>
    </w:pPr>
    <w:rPr>
      <w:sz w:val="20"/>
      <w:szCs w:val="20"/>
    </w:rPr>
  </w:style>
  <w:style w:type="paragraph" w:styleId="Bibliografie">
    <w:name w:val="Bibliography"/>
    <w:basedOn w:val="Standaard"/>
    <w:qFormat/>
  </w:style>
  <w:style w:type="paragraph" w:styleId="Bloktekst">
    <w:name w:val="Block Text"/>
    <w:basedOn w:val="Plattetekst"/>
    <w:next w:val="Platteteks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Voetnoottekst">
    <w:name w:val="footnote text"/>
    <w:basedOn w:val="Standaard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Standaard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Standaard"/>
  </w:style>
  <w:style w:type="paragraph" w:styleId="Bijschrift">
    <w:name w:val="caption"/>
    <w:basedOn w:val="Standaard"/>
    <w:link w:val="BijschriftChar"/>
    <w:pPr>
      <w:spacing w:after="120"/>
    </w:pPr>
    <w:rPr>
      <w:i/>
    </w:rPr>
  </w:style>
  <w:style w:type="paragraph" w:customStyle="1" w:styleId="TableCaption">
    <w:name w:val="Table Caption"/>
    <w:basedOn w:val="Bijschrift"/>
    <w:pPr>
      <w:keepNext/>
    </w:pPr>
  </w:style>
  <w:style w:type="paragraph" w:customStyle="1" w:styleId="ImageCaption">
    <w:name w:val="Image Caption"/>
    <w:basedOn w:val="Bijschrift"/>
  </w:style>
  <w:style w:type="paragraph" w:customStyle="1" w:styleId="Figure">
    <w:name w:val="Figure"/>
    <w:basedOn w:val="Standaard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ijschriftChar">
    <w:name w:val="Bijschrift Char"/>
    <w:basedOn w:val="Standaardalinea-lettertype"/>
    <w:link w:val="Bijschrift"/>
  </w:style>
  <w:style w:type="character" w:customStyle="1" w:styleId="VerbatimChar">
    <w:name w:val="Verbatim Char"/>
    <w:basedOn w:val="BijschriftChar"/>
    <w:link w:val="SourceCode"/>
    <w:rPr>
      <w:rFonts w:ascii="Consolas" w:hAnsi="Consolas"/>
      <w:sz w:val="22"/>
    </w:rPr>
  </w:style>
  <w:style w:type="character" w:styleId="Voetnootmarkering">
    <w:name w:val="footnote reference"/>
    <w:basedOn w:val="BijschriftChar"/>
    <w:rPr>
      <w:vertAlign w:val="superscript"/>
    </w:rPr>
  </w:style>
  <w:style w:type="character" w:styleId="Hyperlink">
    <w:name w:val="Hyperlink"/>
    <w:basedOn w:val="BijschriftChar"/>
    <w:rPr>
      <w:color w:val="4F81BD" w:themeColor="accent1"/>
    </w:rPr>
  </w:style>
  <w:style w:type="paragraph" w:styleId="Kopvaninhoudsopgave">
    <w:name w:val="TOC Heading"/>
    <w:basedOn w:val="Kop1"/>
    <w:next w:val="Platteteks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Standaard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71093B"/>
    <w:pPr>
      <w:tabs>
        <w:tab w:val="center" w:pos="4513"/>
        <w:tab w:val="right" w:pos="9026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71093B"/>
  </w:style>
  <w:style w:type="paragraph" w:styleId="Voettekst">
    <w:name w:val="footer"/>
    <w:basedOn w:val="Standaard"/>
    <w:link w:val="VoettekstChar"/>
    <w:unhideWhenUsed/>
    <w:rsid w:val="0071093B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rsid w:val="0071093B"/>
  </w:style>
  <w:style w:type="paragraph" w:styleId="Ballontekst">
    <w:name w:val="Balloon Text"/>
    <w:basedOn w:val="Standaard"/>
    <w:link w:val="BallontekstChar"/>
    <w:semiHidden/>
    <w:unhideWhenUsed/>
    <w:rsid w:val="009F0C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9F0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Cramer, J.J.F. (Florian)</cp:lastModifiedBy>
  <cp:revision>6</cp:revision>
  <cp:lastPrinted>2019-03-28T13:54:00Z</cp:lastPrinted>
  <dcterms:created xsi:type="dcterms:W3CDTF">2019-03-28T13:49:00Z</dcterms:created>
  <dcterms:modified xsi:type="dcterms:W3CDTF">2019-03-28T23:01:00Z</dcterms:modified>
</cp:coreProperties>
</file>